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261D2" w14:textId="77777777" w:rsidR="00A52162" w:rsidRDefault="0005023F">
      <w:pPr>
        <w:rPr>
          <w:rFonts w:ascii="Times New Roman Regular" w:hAnsi="Times New Roman Regular" w:cs="Times New Roman Regular" w:hint="eastAsia"/>
          <w:b/>
          <w:bCs/>
          <w:sz w:val="24"/>
          <w:szCs w:val="24"/>
        </w:rPr>
      </w:pPr>
      <w:r>
        <w:rPr>
          <w:rFonts w:ascii="Times New Roman Regular" w:hAnsi="Times New Roman Regular" w:cs="Times New Roman Regular"/>
          <w:b/>
          <w:bCs/>
          <w:noProof/>
          <w:sz w:val="24"/>
          <w:szCs w:val="24"/>
        </w:rPr>
        <w:drawing>
          <wp:inline distT="0" distB="0" distL="114300" distR="114300" wp14:anchorId="4F71E1AB" wp14:editId="5EEB2F6E">
            <wp:extent cx="2971800" cy="600075"/>
            <wp:effectExtent l="0" t="0" r="0" b="9525"/>
            <wp:docPr id="2" name="Picture 2" descr="IMG_25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9"/>
                    <a:stretch>
                      <a:fillRect/>
                    </a:stretch>
                  </pic:blipFill>
                  <pic:spPr>
                    <a:xfrm>
                      <a:off x="0" y="0"/>
                      <a:ext cx="2971800" cy="600075"/>
                    </a:xfrm>
                    <a:prstGeom prst="rect">
                      <a:avLst/>
                    </a:prstGeom>
                    <a:noFill/>
                    <a:ln w="9525">
                      <a:noFill/>
                    </a:ln>
                  </pic:spPr>
                </pic:pic>
              </a:graphicData>
            </a:graphic>
          </wp:inline>
        </w:drawing>
      </w:r>
    </w:p>
    <w:p w14:paraId="6B7F8BFB" w14:textId="77777777" w:rsidR="00A52162" w:rsidRDefault="00A52162">
      <w:pPr>
        <w:rPr>
          <w:rFonts w:ascii="Times New Roman Regular" w:hAnsi="Times New Roman Regular" w:cs="Times New Roman Regular" w:hint="eastAsia"/>
          <w:b/>
          <w:bCs/>
          <w:sz w:val="24"/>
          <w:szCs w:val="24"/>
        </w:rPr>
      </w:pPr>
    </w:p>
    <w:p w14:paraId="1729FC18" w14:textId="77777777" w:rsidR="00A52162" w:rsidRDefault="00A52162">
      <w:pPr>
        <w:rPr>
          <w:rFonts w:ascii="Times New Roman Regular" w:hAnsi="Times New Roman Regular" w:cs="Times New Roman Regular" w:hint="eastAsia"/>
          <w:b/>
          <w:bCs/>
          <w:sz w:val="24"/>
          <w:szCs w:val="24"/>
        </w:rPr>
      </w:pPr>
    </w:p>
    <w:p w14:paraId="40B8EB60" w14:textId="77777777" w:rsidR="00A52162" w:rsidRDefault="0005023F">
      <w:pPr>
        <w:jc w:val="center"/>
        <w:rPr>
          <w:rFonts w:ascii="Times New Roman Regular" w:hAnsi="Times New Roman Regular" w:cs="Times New Roman Regular" w:hint="eastAsia"/>
          <w:b/>
          <w:bCs/>
          <w:sz w:val="24"/>
          <w:szCs w:val="24"/>
          <w:u w:val="single"/>
        </w:rPr>
      </w:pPr>
      <w:r>
        <w:rPr>
          <w:rFonts w:ascii="Times New Roman Regular" w:hAnsi="Times New Roman Regular" w:cs="Times New Roman Regular"/>
          <w:b/>
          <w:bCs/>
          <w:sz w:val="24"/>
          <w:szCs w:val="24"/>
          <w:u w:val="single"/>
        </w:rPr>
        <w:t>Terms of Reference (</w:t>
      </w:r>
      <w:proofErr w:type="spellStart"/>
      <w:r>
        <w:rPr>
          <w:rFonts w:ascii="Times New Roman Regular" w:hAnsi="Times New Roman Regular" w:cs="Times New Roman Regular"/>
          <w:b/>
          <w:bCs/>
          <w:sz w:val="24"/>
          <w:szCs w:val="24"/>
          <w:u w:val="single"/>
        </w:rPr>
        <w:t>ToR</w:t>
      </w:r>
      <w:proofErr w:type="spellEnd"/>
      <w:r>
        <w:rPr>
          <w:rFonts w:ascii="Times New Roman Regular" w:hAnsi="Times New Roman Regular" w:cs="Times New Roman Regular"/>
          <w:b/>
          <w:bCs/>
          <w:sz w:val="24"/>
          <w:szCs w:val="24"/>
          <w:u w:val="single"/>
        </w:rPr>
        <w:t>) for Consultant: Development of a Simplified Guide on Anti-Corruption Initiatives in Political Party Manifestos</w:t>
      </w:r>
    </w:p>
    <w:p w14:paraId="112AA6BB" w14:textId="77777777" w:rsidR="00A52162" w:rsidRDefault="00A52162">
      <w:pPr>
        <w:rPr>
          <w:rFonts w:ascii="Times New Roman Regular" w:hAnsi="Times New Roman Regular" w:cs="Times New Roman Regular" w:hint="eastAsia"/>
          <w:b/>
          <w:bCs/>
          <w:sz w:val="24"/>
          <w:szCs w:val="24"/>
        </w:rPr>
      </w:pPr>
    </w:p>
    <w:p w14:paraId="2C4B1A25" w14:textId="77777777" w:rsidR="00A52162" w:rsidRDefault="0005023F">
      <w:pPr>
        <w:rPr>
          <w:rFonts w:ascii="Times New Roman Regular" w:hAnsi="Times New Roman Regular" w:cs="Times New Roman Regular" w:hint="eastAsia"/>
          <w:sz w:val="24"/>
          <w:szCs w:val="24"/>
        </w:rPr>
      </w:pPr>
      <w:r>
        <w:rPr>
          <w:rFonts w:ascii="Times New Roman Regular" w:hAnsi="Times New Roman Regular" w:cs="Times New Roman Regular"/>
          <w:b/>
          <w:bCs/>
          <w:sz w:val="24"/>
          <w:szCs w:val="24"/>
        </w:rPr>
        <w:t>Background</w:t>
      </w:r>
      <w:r>
        <w:rPr>
          <w:rFonts w:ascii="Times New Roman Regular" w:hAnsi="Times New Roman Regular" w:cs="Times New Roman Regular"/>
          <w:sz w:val="24"/>
          <w:szCs w:val="24"/>
        </w:rPr>
        <w:t xml:space="preserve"> </w:t>
      </w:r>
    </w:p>
    <w:p w14:paraId="5836B87C" w14:textId="77777777" w:rsidR="00A52162" w:rsidRDefault="0005023F">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The Africa Centre for Energy Policy (ACEP), in collaboration with the Ghana Integrity Initiative (GII) and the Ghana Anti-Corruption Coalition (GACC), is implementing a governance-focused project under the support of the Foreign, Commonwealth &amp; Development Office (FCDO) thematic cluster. This project aims to foster stronger citizen engagement in governance and anti-corruption discourse, particularly during the 2024 election cycle in Ghana.</w:t>
      </w:r>
    </w:p>
    <w:p w14:paraId="46504BFB" w14:textId="77777777" w:rsidR="00A52162" w:rsidRDefault="00A52162">
      <w:pPr>
        <w:jc w:val="both"/>
        <w:rPr>
          <w:rFonts w:ascii="Times New Roman Regular" w:hAnsi="Times New Roman Regular" w:cs="Times New Roman Regular" w:hint="eastAsia"/>
          <w:sz w:val="24"/>
          <w:szCs w:val="24"/>
        </w:rPr>
      </w:pPr>
    </w:p>
    <w:p w14:paraId="117FBB58" w14:textId="77777777" w:rsidR="00A52162" w:rsidRDefault="0005023F">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Corruption continues to be a critical threat to Ghana’s socioeconomic development, eroding trust in public institutions and hampering both economic and political progress. </w:t>
      </w:r>
      <w:proofErr w:type="gramStart"/>
      <w:r>
        <w:rPr>
          <w:rFonts w:ascii="Times New Roman Regular" w:hAnsi="Times New Roman Regular" w:cs="Times New Roman Regular"/>
          <w:sz w:val="24"/>
          <w:szCs w:val="24"/>
        </w:rPr>
        <w:t>In light of</w:t>
      </w:r>
      <w:proofErr w:type="gramEnd"/>
      <w:r>
        <w:rPr>
          <w:rFonts w:ascii="Times New Roman Regular" w:hAnsi="Times New Roman Regular" w:cs="Times New Roman Regular"/>
          <w:sz w:val="24"/>
          <w:szCs w:val="24"/>
        </w:rPr>
        <w:t xml:space="preserve"> this, various political parties have included anti-corruption initiatives in their manifestos ahead of the 2024 elections. However, many citizens struggle to understand these proposals due to their complex language and structure, which prevents meaningful engagement with the content.</w:t>
      </w:r>
    </w:p>
    <w:p w14:paraId="6C42ECAB" w14:textId="77777777" w:rsidR="00A52162" w:rsidRDefault="00A52162">
      <w:pPr>
        <w:jc w:val="both"/>
        <w:rPr>
          <w:rFonts w:ascii="Times New Roman Regular" w:hAnsi="Times New Roman Regular" w:cs="Times New Roman Regular" w:hint="eastAsia"/>
          <w:sz w:val="24"/>
          <w:szCs w:val="24"/>
        </w:rPr>
      </w:pPr>
    </w:p>
    <w:p w14:paraId="5E7E43D2" w14:textId="77777777" w:rsidR="00A52162" w:rsidRDefault="0005023F">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GII, leading the implementation of this specific component, seeks to bridge this gap by producing a simplified guide on the anti-corruption initiatives presented in these manifestos. This tool will empower citizens with clear, digestible information, helping them assess the commitments made by political candidates and actively participate in holding these leaders accountable during and after the elections. </w:t>
      </w:r>
    </w:p>
    <w:p w14:paraId="2CFCB81D" w14:textId="77777777" w:rsidR="00A52162" w:rsidRDefault="00A52162">
      <w:pPr>
        <w:rPr>
          <w:rFonts w:ascii="Times New Roman Regular" w:hAnsi="Times New Roman Regular" w:cs="Times New Roman Regular" w:hint="eastAsia"/>
          <w:sz w:val="24"/>
          <w:szCs w:val="24"/>
        </w:rPr>
      </w:pPr>
    </w:p>
    <w:p w14:paraId="76300ECB" w14:textId="77777777" w:rsidR="00A52162" w:rsidRDefault="0005023F">
      <w:pPr>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 xml:space="preserve">Objective of the Consultancy </w:t>
      </w:r>
    </w:p>
    <w:p w14:paraId="2CB46EEB" w14:textId="77777777" w:rsidR="00A52162" w:rsidRDefault="0005023F">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The objective of the consultancy is to produce a simplified and engaging guide summarizing anti-corruption commitments outlined in the political party manifestos. Specifically, the </w:t>
      </w:r>
      <w:proofErr w:type="spellStart"/>
      <w:r>
        <w:rPr>
          <w:rFonts w:ascii="Times New Roman Regular" w:hAnsi="Times New Roman Regular" w:cs="Times New Roman Regular"/>
          <w:sz w:val="24"/>
          <w:szCs w:val="24"/>
        </w:rPr>
        <w:t>ToR</w:t>
      </w:r>
      <w:proofErr w:type="spellEnd"/>
      <w:r>
        <w:rPr>
          <w:rFonts w:ascii="Times New Roman Regular" w:hAnsi="Times New Roman Regular" w:cs="Times New Roman Regular"/>
          <w:sz w:val="24"/>
          <w:szCs w:val="24"/>
        </w:rPr>
        <w:t xml:space="preserve"> will </w:t>
      </w:r>
      <w:proofErr w:type="gramStart"/>
      <w:r>
        <w:rPr>
          <w:rFonts w:ascii="Times New Roman Regular" w:hAnsi="Times New Roman Regular" w:cs="Times New Roman Regular"/>
          <w:sz w:val="24"/>
          <w:szCs w:val="24"/>
        </w:rPr>
        <w:t>seek :</w:t>
      </w:r>
      <w:proofErr w:type="gramEnd"/>
      <w:r>
        <w:rPr>
          <w:rFonts w:ascii="Times New Roman Regular" w:hAnsi="Times New Roman Regular" w:cs="Times New Roman Regular"/>
          <w:sz w:val="24"/>
          <w:szCs w:val="24"/>
        </w:rPr>
        <w:t xml:space="preserve"> </w:t>
      </w:r>
    </w:p>
    <w:p w14:paraId="210FF9E0" w14:textId="77777777" w:rsidR="00A52162" w:rsidRDefault="0005023F">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To analyze anti-corruption initiatives proposed in the political party manifestos for the 2024 elections.</w:t>
      </w:r>
    </w:p>
    <w:p w14:paraId="7CF1CB4E" w14:textId="61A9F88C" w:rsidR="00A52162" w:rsidRDefault="0005023F">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To simplify and package the key anti-corruption proposals in a format </w:t>
      </w:r>
      <w:r w:rsidR="00FD0551">
        <w:rPr>
          <w:rFonts w:ascii="Times New Roman Regular" w:hAnsi="Times New Roman Regular" w:cs="Times New Roman Regular"/>
          <w:sz w:val="24"/>
          <w:szCs w:val="24"/>
        </w:rPr>
        <w:t>understandable</w:t>
      </w:r>
      <w:r>
        <w:rPr>
          <w:rFonts w:ascii="Times New Roman Regular" w:hAnsi="Times New Roman Regular" w:cs="Times New Roman Regular"/>
          <w:sz w:val="24"/>
          <w:szCs w:val="24"/>
        </w:rPr>
        <w:t xml:space="preserve"> to the </w:t>
      </w:r>
      <w:proofErr w:type="gramStart"/>
      <w:r>
        <w:rPr>
          <w:rFonts w:ascii="Times New Roman Regular" w:hAnsi="Times New Roman Regular" w:cs="Times New Roman Regular"/>
          <w:sz w:val="24"/>
          <w:szCs w:val="24"/>
        </w:rPr>
        <w:t>general public</w:t>
      </w:r>
      <w:proofErr w:type="gramEnd"/>
      <w:r>
        <w:rPr>
          <w:rFonts w:ascii="Times New Roman Regular" w:hAnsi="Times New Roman Regular" w:cs="Times New Roman Regular"/>
          <w:sz w:val="24"/>
          <w:szCs w:val="24"/>
        </w:rPr>
        <w:t>.</w:t>
      </w:r>
    </w:p>
    <w:p w14:paraId="631173BB" w14:textId="77777777" w:rsidR="00A52162" w:rsidRDefault="0005023F">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To develop the guide as a tool for citizens to engage political candidates and demand accountability.</w:t>
      </w:r>
    </w:p>
    <w:p w14:paraId="2F91CBA3" w14:textId="77777777" w:rsidR="00A52162" w:rsidRDefault="0005023F">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To support the dissemination of the guide, ensuring that it serves as a central piece in the Pledge Against Corruption (PAC) campaign.</w:t>
      </w:r>
    </w:p>
    <w:p w14:paraId="073E0BFA" w14:textId="77777777" w:rsidR="00A52162" w:rsidRDefault="0005023F">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To facilitate citizen participation in governance by ensuring that the anti-corruption commitments of political parties </w:t>
      </w:r>
      <w:proofErr w:type="gramStart"/>
      <w:r>
        <w:rPr>
          <w:rFonts w:ascii="Times New Roman Regular" w:hAnsi="Times New Roman Regular" w:cs="Times New Roman Regular"/>
          <w:sz w:val="24"/>
          <w:szCs w:val="24"/>
        </w:rPr>
        <w:t>are well understood</w:t>
      </w:r>
      <w:proofErr w:type="gramEnd"/>
      <w:r>
        <w:rPr>
          <w:rFonts w:ascii="Times New Roman Regular" w:hAnsi="Times New Roman Regular" w:cs="Times New Roman Regular"/>
          <w:sz w:val="24"/>
          <w:szCs w:val="24"/>
        </w:rPr>
        <w:t xml:space="preserve"> and widely shared.</w:t>
      </w:r>
    </w:p>
    <w:p w14:paraId="725E2E8A" w14:textId="77777777" w:rsidR="00A52162" w:rsidRDefault="00A52162">
      <w:pPr>
        <w:rPr>
          <w:rFonts w:ascii="Times New Roman Regular" w:hAnsi="Times New Roman Regular" w:cs="Times New Roman Regular" w:hint="eastAsia"/>
          <w:sz w:val="24"/>
          <w:szCs w:val="24"/>
        </w:rPr>
      </w:pPr>
    </w:p>
    <w:p w14:paraId="222C513B" w14:textId="77777777" w:rsidR="00A52162" w:rsidRDefault="00A52162">
      <w:pPr>
        <w:rPr>
          <w:rFonts w:ascii="Times New Roman Regular" w:hAnsi="Times New Roman Regular" w:cs="Times New Roman Regular" w:hint="eastAsia"/>
          <w:sz w:val="24"/>
          <w:szCs w:val="24"/>
        </w:rPr>
      </w:pPr>
    </w:p>
    <w:p w14:paraId="193509E5" w14:textId="77777777" w:rsidR="00A52162" w:rsidRDefault="0005023F">
      <w:pPr>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 xml:space="preserve">Scope of Work </w:t>
      </w:r>
    </w:p>
    <w:p w14:paraId="22C95848" w14:textId="77777777" w:rsidR="00A52162" w:rsidRDefault="0005023F">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The consultant will be responsible for the following:</w:t>
      </w:r>
    </w:p>
    <w:p w14:paraId="214C7D94" w14:textId="77777777" w:rsidR="00A52162" w:rsidRDefault="00A52162">
      <w:pPr>
        <w:rPr>
          <w:rFonts w:ascii="Times New Roman Regular" w:hAnsi="Times New Roman Regular" w:cs="Times New Roman Regular" w:hint="eastAsia"/>
          <w:sz w:val="24"/>
          <w:szCs w:val="24"/>
        </w:rPr>
      </w:pPr>
    </w:p>
    <w:p w14:paraId="0E7A4BD1" w14:textId="77777777" w:rsidR="00A52162" w:rsidRDefault="0005023F" w:rsidP="00F901E3">
      <w:pPr>
        <w:numPr>
          <w:ilvl w:val="0"/>
          <w:numId w:val="2"/>
        </w:numPr>
        <w:spacing w:after="240"/>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Review the manifestos of all major political parties contesting in the 2024 general elections, with a focus on identifying their anti-corruption promises and proposals.</w:t>
      </w:r>
    </w:p>
    <w:p w14:paraId="04BB5B7C" w14:textId="3343A959" w:rsidR="00A52162" w:rsidRDefault="0005023F" w:rsidP="00F901E3">
      <w:pPr>
        <w:numPr>
          <w:ilvl w:val="0"/>
          <w:numId w:val="2"/>
        </w:numPr>
        <w:spacing w:after="240"/>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Translate complex policy language into easy-to-understand terms without losing the integrity or detail of the original proposals. The guide must be written in clear, </w:t>
      </w:r>
      <w:r w:rsidR="00FD0551">
        <w:rPr>
          <w:rFonts w:ascii="Times New Roman Regular" w:hAnsi="Times New Roman Regular" w:cs="Times New Roman Regular"/>
          <w:sz w:val="24"/>
          <w:szCs w:val="24"/>
        </w:rPr>
        <w:t>understandable</w:t>
      </w:r>
      <w:r>
        <w:rPr>
          <w:rFonts w:ascii="Times New Roman Regular" w:hAnsi="Times New Roman Regular" w:cs="Times New Roman Regular"/>
          <w:sz w:val="24"/>
          <w:szCs w:val="24"/>
        </w:rPr>
        <w:t xml:space="preserve"> language suitable for a wide range of audiences, including the </w:t>
      </w:r>
      <w:proofErr w:type="gramStart"/>
      <w:r>
        <w:rPr>
          <w:rFonts w:ascii="Times New Roman Regular" w:hAnsi="Times New Roman Regular" w:cs="Times New Roman Regular"/>
          <w:sz w:val="24"/>
          <w:szCs w:val="24"/>
        </w:rPr>
        <w:t>general public</w:t>
      </w:r>
      <w:proofErr w:type="gramEnd"/>
      <w:r>
        <w:rPr>
          <w:rFonts w:ascii="Times New Roman Regular" w:hAnsi="Times New Roman Regular" w:cs="Times New Roman Regular"/>
          <w:sz w:val="24"/>
          <w:szCs w:val="24"/>
        </w:rPr>
        <w:t>, students, and community groups.</w:t>
      </w:r>
    </w:p>
    <w:p w14:paraId="22B14D42" w14:textId="77777777" w:rsidR="00A52162" w:rsidRDefault="0005023F">
      <w:pPr>
        <w:numPr>
          <w:ilvl w:val="0"/>
          <w:numId w:val="2"/>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Design and format the content in a way that enhances readability and engagement. The final product should be visually appealing, and easy to distribute digitally and in print. Infographics, summary tables, and key highlights should </w:t>
      </w:r>
      <w:proofErr w:type="gramStart"/>
      <w:r>
        <w:rPr>
          <w:rFonts w:ascii="Times New Roman Regular" w:hAnsi="Times New Roman Regular" w:cs="Times New Roman Regular"/>
          <w:sz w:val="24"/>
          <w:szCs w:val="24"/>
        </w:rPr>
        <w:t>be incorporated</w:t>
      </w:r>
      <w:proofErr w:type="gramEnd"/>
      <w:r>
        <w:rPr>
          <w:rFonts w:ascii="Times New Roman Regular" w:hAnsi="Times New Roman Regular" w:cs="Times New Roman Regular"/>
          <w:sz w:val="24"/>
          <w:szCs w:val="24"/>
        </w:rPr>
        <w:t xml:space="preserve"> where possible.</w:t>
      </w:r>
    </w:p>
    <w:p w14:paraId="06EDB313" w14:textId="77777777" w:rsidR="00A52162" w:rsidRDefault="00A52162">
      <w:pPr>
        <w:jc w:val="both"/>
        <w:rPr>
          <w:rFonts w:ascii="Times New Roman Regular" w:hAnsi="Times New Roman Regular" w:cs="Times New Roman Regular" w:hint="eastAsia"/>
          <w:sz w:val="24"/>
          <w:szCs w:val="24"/>
        </w:rPr>
      </w:pPr>
    </w:p>
    <w:p w14:paraId="67FB8810" w14:textId="77777777" w:rsidR="00A52162" w:rsidRDefault="0005023F">
      <w:pPr>
        <w:numPr>
          <w:ilvl w:val="0"/>
          <w:numId w:val="2"/>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Work closely with GII and </w:t>
      </w:r>
      <w:proofErr w:type="spellStart"/>
      <w:proofErr w:type="gramStart"/>
      <w:r>
        <w:rPr>
          <w:rFonts w:ascii="Times New Roman Regular" w:hAnsi="Times New Roman Regular" w:cs="Times New Roman Regular"/>
          <w:sz w:val="24"/>
          <w:szCs w:val="24"/>
        </w:rPr>
        <w:t>it’s</w:t>
      </w:r>
      <w:proofErr w:type="spellEnd"/>
      <w:proofErr w:type="gramEnd"/>
      <w:r>
        <w:rPr>
          <w:rFonts w:ascii="Times New Roman Regular" w:hAnsi="Times New Roman Regular" w:cs="Times New Roman Regular"/>
          <w:sz w:val="24"/>
          <w:szCs w:val="24"/>
        </w:rPr>
        <w:t xml:space="preserve"> partners to ensure alignment with the broader project objectives and receive feedback throughout the process.</w:t>
      </w:r>
    </w:p>
    <w:p w14:paraId="379FB570" w14:textId="77777777" w:rsidR="00A52162" w:rsidRDefault="00A52162">
      <w:pPr>
        <w:jc w:val="both"/>
        <w:rPr>
          <w:rFonts w:ascii="Times New Roman Regular" w:hAnsi="Times New Roman Regular" w:cs="Times New Roman Regular" w:hint="eastAsia"/>
          <w:sz w:val="24"/>
          <w:szCs w:val="24"/>
        </w:rPr>
      </w:pPr>
    </w:p>
    <w:p w14:paraId="05006B8C" w14:textId="77777777" w:rsidR="00A52162" w:rsidRDefault="0005023F">
      <w:pPr>
        <w:numPr>
          <w:ilvl w:val="0"/>
          <w:numId w:val="2"/>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Ensure that the guide remains objective, providing a balanced representation of the anti-corruption initiatives from all parties without favoring any </w:t>
      </w:r>
      <w:proofErr w:type="gramStart"/>
      <w:r>
        <w:rPr>
          <w:rFonts w:ascii="Times New Roman Regular" w:hAnsi="Times New Roman Regular" w:cs="Times New Roman Regular"/>
          <w:sz w:val="24"/>
          <w:szCs w:val="24"/>
        </w:rPr>
        <w:t>particular political</w:t>
      </w:r>
      <w:proofErr w:type="gramEnd"/>
      <w:r>
        <w:rPr>
          <w:rFonts w:ascii="Times New Roman Regular" w:hAnsi="Times New Roman Regular" w:cs="Times New Roman Regular"/>
          <w:sz w:val="24"/>
          <w:szCs w:val="24"/>
        </w:rPr>
        <w:t xml:space="preserve"> organization.</w:t>
      </w:r>
    </w:p>
    <w:p w14:paraId="7C2A95E0" w14:textId="77777777" w:rsidR="00A52162" w:rsidRDefault="00A52162">
      <w:pPr>
        <w:jc w:val="both"/>
        <w:rPr>
          <w:rFonts w:ascii="Times New Roman Regular" w:hAnsi="Times New Roman Regular" w:cs="Times New Roman Regular" w:hint="eastAsia"/>
          <w:sz w:val="24"/>
          <w:szCs w:val="24"/>
        </w:rPr>
      </w:pPr>
    </w:p>
    <w:p w14:paraId="08C49F2D" w14:textId="77777777" w:rsidR="00A52162" w:rsidRDefault="0005023F">
      <w:pPr>
        <w:numPr>
          <w:ilvl w:val="0"/>
          <w:numId w:val="2"/>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Be open to conducting interviews or consultations with relevant experts or political party representatives, if necessary, to clarify or confirm policy commitments.</w:t>
      </w:r>
    </w:p>
    <w:p w14:paraId="7A1B2AEE" w14:textId="77777777" w:rsidR="00A52162" w:rsidRDefault="00A52162">
      <w:pPr>
        <w:jc w:val="both"/>
        <w:rPr>
          <w:rFonts w:ascii="Times New Roman Regular" w:hAnsi="Times New Roman Regular" w:cs="Times New Roman Regular" w:hint="eastAsia"/>
          <w:sz w:val="24"/>
          <w:szCs w:val="24"/>
        </w:rPr>
      </w:pPr>
    </w:p>
    <w:p w14:paraId="7F4AE564" w14:textId="77777777" w:rsidR="00A52162" w:rsidRDefault="0005023F">
      <w:pPr>
        <w:jc w:val="both"/>
        <w:rPr>
          <w:rFonts w:ascii="Times New Roman Regular" w:hAnsi="Times New Roman Regular" w:cs="Times New Roman Regular" w:hint="eastAsia"/>
          <w:sz w:val="24"/>
          <w:szCs w:val="24"/>
        </w:rPr>
      </w:pPr>
      <w:r>
        <w:rPr>
          <w:rFonts w:ascii="Times New Roman Regular" w:hAnsi="Times New Roman Regular" w:cs="Times New Roman Regular"/>
          <w:b/>
          <w:bCs/>
          <w:sz w:val="24"/>
          <w:szCs w:val="24"/>
        </w:rPr>
        <w:t>Deliverables</w:t>
      </w:r>
    </w:p>
    <w:p w14:paraId="774F341F" w14:textId="77777777" w:rsidR="00A52162" w:rsidRDefault="0005023F" w:rsidP="00F901E3">
      <w:pPr>
        <w:numPr>
          <w:ilvl w:val="0"/>
          <w:numId w:val="3"/>
        </w:numPr>
        <w:spacing w:after="240"/>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A draft version of the guide, submitted to GII and partners for review and comments.</w:t>
      </w:r>
    </w:p>
    <w:p w14:paraId="348F80C6" w14:textId="77777777" w:rsidR="00A52162" w:rsidRDefault="0005023F">
      <w:pPr>
        <w:numPr>
          <w:ilvl w:val="0"/>
          <w:numId w:val="3"/>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A final, print-ready version of the simplified guide incorporating feedback from the project team.</w:t>
      </w:r>
    </w:p>
    <w:p w14:paraId="004BFAFC" w14:textId="77777777" w:rsidR="00A52162" w:rsidRDefault="00A52162">
      <w:pPr>
        <w:jc w:val="both"/>
        <w:rPr>
          <w:rFonts w:ascii="Times New Roman Regular" w:hAnsi="Times New Roman Regular" w:cs="Times New Roman Regular" w:hint="eastAsia"/>
          <w:sz w:val="24"/>
          <w:szCs w:val="24"/>
        </w:rPr>
      </w:pPr>
    </w:p>
    <w:p w14:paraId="7DE83ADC" w14:textId="77777777" w:rsidR="00A52162" w:rsidRDefault="0005023F">
      <w:pPr>
        <w:jc w:val="both"/>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 xml:space="preserve">Timeline/duration of assignment </w:t>
      </w:r>
    </w:p>
    <w:p w14:paraId="5126F54B" w14:textId="77777777" w:rsidR="00A52162" w:rsidRDefault="0005023F">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The consultancy will be for a maximum duration of 14 days, starting from 21st October 2024. The final deliverable must </w:t>
      </w:r>
      <w:proofErr w:type="gramStart"/>
      <w:r>
        <w:rPr>
          <w:rFonts w:ascii="Times New Roman Regular" w:hAnsi="Times New Roman Regular" w:cs="Times New Roman Regular"/>
          <w:sz w:val="24"/>
          <w:szCs w:val="24"/>
        </w:rPr>
        <w:t>be completed</w:t>
      </w:r>
      <w:proofErr w:type="gramEnd"/>
      <w:r>
        <w:rPr>
          <w:rFonts w:ascii="Times New Roman Regular" w:hAnsi="Times New Roman Regular" w:cs="Times New Roman Regular"/>
          <w:sz w:val="24"/>
          <w:szCs w:val="24"/>
        </w:rPr>
        <w:t xml:space="preserve"> and submitted by 4th November 2024.</w:t>
      </w:r>
    </w:p>
    <w:p w14:paraId="5E9D31B6" w14:textId="77777777" w:rsidR="00A52162" w:rsidRDefault="00A52162">
      <w:pPr>
        <w:rPr>
          <w:rFonts w:ascii="Times New Roman Regular" w:hAnsi="Times New Roman Regular" w:cs="Times New Roman Regular" w:hint="eastAsia"/>
          <w:sz w:val="24"/>
          <w:szCs w:val="24"/>
        </w:rPr>
      </w:pPr>
    </w:p>
    <w:p w14:paraId="4F88E96F" w14:textId="3FEF6175" w:rsidR="00A52162" w:rsidRPr="00BA434E" w:rsidRDefault="0005023F">
      <w:pPr>
        <w:rPr>
          <w:rFonts w:ascii="Times New Roman Regular" w:hAnsi="Times New Roman Regular" w:cs="Times New Roman Regular" w:hint="eastAsia"/>
          <w:b/>
          <w:bCs/>
          <w:sz w:val="24"/>
          <w:szCs w:val="24"/>
        </w:rPr>
      </w:pPr>
      <w:r w:rsidRPr="00BA434E">
        <w:rPr>
          <w:rFonts w:ascii="Times New Roman Regular" w:hAnsi="Times New Roman Regular" w:cs="Times New Roman Regular"/>
          <w:b/>
          <w:bCs/>
          <w:sz w:val="24"/>
          <w:szCs w:val="24"/>
        </w:rPr>
        <w:t xml:space="preserve">Qualifications/skills </w:t>
      </w:r>
    </w:p>
    <w:p w14:paraId="52702AC1" w14:textId="77777777" w:rsidR="00A52162" w:rsidRDefault="0005023F">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The ideal consultant should possess:</w:t>
      </w:r>
    </w:p>
    <w:p w14:paraId="34250961" w14:textId="77777777" w:rsidR="00A52162" w:rsidRDefault="0005023F">
      <w:pPr>
        <w:numPr>
          <w:ilvl w:val="0"/>
          <w:numId w:val="4"/>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A minimum of 10 years’ experience in public policy analysis, governance, or political science, with proven expertise in anti-corruption frameworks.</w:t>
      </w:r>
    </w:p>
    <w:p w14:paraId="0BE58ADC" w14:textId="77777777" w:rsidR="00A52162" w:rsidRDefault="00A52162">
      <w:pPr>
        <w:jc w:val="both"/>
        <w:rPr>
          <w:rFonts w:ascii="Times New Roman Regular" w:hAnsi="Times New Roman Regular" w:cs="Times New Roman Regular" w:hint="eastAsia"/>
          <w:sz w:val="24"/>
          <w:szCs w:val="24"/>
        </w:rPr>
      </w:pPr>
    </w:p>
    <w:p w14:paraId="000CCB61" w14:textId="77777777" w:rsidR="00A52162" w:rsidRDefault="0005023F" w:rsidP="00F901E3">
      <w:pPr>
        <w:numPr>
          <w:ilvl w:val="0"/>
          <w:numId w:val="4"/>
        </w:numPr>
        <w:spacing w:after="240"/>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Demonstrated ability to simplify complex political and legal documents for non-technical audiences.</w:t>
      </w:r>
    </w:p>
    <w:p w14:paraId="05E2F739" w14:textId="77777777" w:rsidR="00A52162" w:rsidRDefault="0005023F">
      <w:pPr>
        <w:numPr>
          <w:ilvl w:val="0"/>
          <w:numId w:val="4"/>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Excellent writing and communication skills with a strong </w:t>
      </w:r>
      <w:proofErr w:type="gramStart"/>
      <w:r>
        <w:rPr>
          <w:rFonts w:ascii="Times New Roman Regular" w:hAnsi="Times New Roman Regular" w:cs="Times New Roman Regular"/>
          <w:sz w:val="24"/>
          <w:szCs w:val="24"/>
        </w:rPr>
        <w:t>track record</w:t>
      </w:r>
      <w:proofErr w:type="gramEnd"/>
      <w:r>
        <w:rPr>
          <w:rFonts w:ascii="Times New Roman Regular" w:hAnsi="Times New Roman Regular" w:cs="Times New Roman Regular"/>
          <w:sz w:val="24"/>
          <w:szCs w:val="24"/>
        </w:rPr>
        <w:t xml:space="preserve"> of producing high-quality, user-friendly content.</w:t>
      </w:r>
    </w:p>
    <w:p w14:paraId="6F32F4E9" w14:textId="77777777" w:rsidR="00A52162" w:rsidRDefault="00A52162">
      <w:pPr>
        <w:jc w:val="both"/>
        <w:rPr>
          <w:rFonts w:ascii="Times New Roman Regular" w:hAnsi="Times New Roman Regular" w:cs="Times New Roman Regular" w:hint="eastAsia"/>
          <w:sz w:val="24"/>
          <w:szCs w:val="24"/>
        </w:rPr>
      </w:pPr>
    </w:p>
    <w:p w14:paraId="10EA86C7" w14:textId="77777777" w:rsidR="00A52162" w:rsidRDefault="0005023F">
      <w:pPr>
        <w:numPr>
          <w:ilvl w:val="0"/>
          <w:numId w:val="4"/>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Familiarity with Ghana’s political environment and the dynamics of electoral processes.</w:t>
      </w:r>
    </w:p>
    <w:p w14:paraId="10413293" w14:textId="77777777" w:rsidR="00A52162" w:rsidRDefault="00A52162">
      <w:pPr>
        <w:jc w:val="both"/>
        <w:rPr>
          <w:rFonts w:ascii="Times New Roman Regular" w:hAnsi="Times New Roman Regular" w:cs="Times New Roman Regular" w:hint="eastAsia"/>
          <w:sz w:val="24"/>
          <w:szCs w:val="24"/>
        </w:rPr>
      </w:pPr>
    </w:p>
    <w:p w14:paraId="303DE04F" w14:textId="77777777" w:rsidR="00A52162" w:rsidRDefault="0005023F">
      <w:pPr>
        <w:numPr>
          <w:ilvl w:val="0"/>
          <w:numId w:val="4"/>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Experience working with civil society organizations and knowledge of governance and anti-corruption issues in Ghana and across Africa.</w:t>
      </w:r>
    </w:p>
    <w:p w14:paraId="50D3054C" w14:textId="77777777" w:rsidR="00A52162" w:rsidRDefault="00A52162">
      <w:pPr>
        <w:rPr>
          <w:rFonts w:ascii="Times New Roman Regular" w:hAnsi="Times New Roman Regular" w:cs="Times New Roman Regular" w:hint="eastAsia"/>
          <w:sz w:val="24"/>
          <w:szCs w:val="24"/>
        </w:rPr>
      </w:pPr>
    </w:p>
    <w:p w14:paraId="4A7F2334" w14:textId="77777777" w:rsidR="00A52162" w:rsidRDefault="0005023F">
      <w:pPr>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 xml:space="preserve">Reporting Requirements </w:t>
      </w:r>
    </w:p>
    <w:p w14:paraId="0A765FA1" w14:textId="77777777" w:rsidR="00A52162" w:rsidRDefault="0005023F">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The consultant will report directly to the Executive Director of GII and will collaborate closely with the project teams from ACEP and GACC.</w:t>
      </w:r>
    </w:p>
    <w:p w14:paraId="7A3F5FE1" w14:textId="77777777" w:rsidR="00A52162" w:rsidRDefault="00A52162">
      <w:pPr>
        <w:rPr>
          <w:rFonts w:ascii="Times New Roman Regular" w:hAnsi="Times New Roman Regular" w:cs="Times New Roman Regular" w:hint="eastAsia"/>
          <w:sz w:val="24"/>
          <w:szCs w:val="24"/>
        </w:rPr>
      </w:pPr>
    </w:p>
    <w:p w14:paraId="6C4E2403" w14:textId="77777777" w:rsidR="00A52162" w:rsidRDefault="0005023F">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Interested consultants should submit their proposals, which must include:</w:t>
      </w:r>
    </w:p>
    <w:p w14:paraId="0CC868E0" w14:textId="5B423907" w:rsidR="00A52162" w:rsidRDefault="0005023F" w:rsidP="00F901E3">
      <w:pPr>
        <w:numPr>
          <w:ilvl w:val="0"/>
          <w:numId w:val="5"/>
        </w:numPr>
        <w:spacing w:after="240"/>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A detailed CV capturing relevant work</w:t>
      </w:r>
    </w:p>
    <w:p w14:paraId="7F6C0E7F" w14:textId="77777777" w:rsidR="00A52162" w:rsidRDefault="0005023F" w:rsidP="00F901E3">
      <w:pPr>
        <w:numPr>
          <w:ilvl w:val="0"/>
          <w:numId w:val="5"/>
        </w:numPr>
        <w:spacing w:after="240"/>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A short technical proposal outlining how they intend to approach the assignment, including methodologies and timelines.</w:t>
      </w:r>
    </w:p>
    <w:p w14:paraId="6F751605" w14:textId="77777777" w:rsidR="00A52162" w:rsidRDefault="0005023F">
      <w:pPr>
        <w:numPr>
          <w:ilvl w:val="0"/>
          <w:numId w:val="5"/>
        </w:num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Examples of similar work previously completed (if available will be a plus).</w:t>
      </w:r>
    </w:p>
    <w:p w14:paraId="79DAAFA1" w14:textId="77777777" w:rsidR="00A52162" w:rsidRDefault="00A52162">
      <w:pPr>
        <w:rPr>
          <w:rFonts w:ascii="Times New Roman Regular" w:hAnsi="Times New Roman Regular" w:cs="Times New Roman Regular" w:hint="eastAsia"/>
          <w:sz w:val="24"/>
          <w:szCs w:val="24"/>
        </w:rPr>
      </w:pPr>
    </w:p>
    <w:p w14:paraId="5590B065" w14:textId="77777777" w:rsidR="00A52162" w:rsidRDefault="0005023F">
      <w:pPr>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All Submissions must </w:t>
      </w:r>
      <w:proofErr w:type="gramStart"/>
      <w:r>
        <w:rPr>
          <w:rFonts w:ascii="Times New Roman Regular" w:hAnsi="Times New Roman Regular" w:cs="Times New Roman Regular"/>
          <w:sz w:val="24"/>
          <w:szCs w:val="24"/>
        </w:rPr>
        <w:t>be made</w:t>
      </w:r>
      <w:proofErr w:type="gramEnd"/>
      <w:r>
        <w:rPr>
          <w:rFonts w:ascii="Times New Roman Regular" w:hAnsi="Times New Roman Regular" w:cs="Times New Roman Regular"/>
          <w:sz w:val="24"/>
          <w:szCs w:val="24"/>
        </w:rPr>
        <w:t xml:space="preserve"> via email to </w:t>
      </w:r>
      <w:r w:rsidRPr="00DE0173">
        <w:rPr>
          <w:rFonts w:ascii="Times New Roman Regular" w:hAnsi="Times New Roman Regular" w:cs="Times New Roman Regular"/>
          <w:b/>
          <w:bCs/>
          <w:sz w:val="24"/>
          <w:szCs w:val="24"/>
        </w:rPr>
        <w:t>j</w:t>
      </w:r>
      <w:r>
        <w:rPr>
          <w:rFonts w:ascii="Times New Roman Regular" w:hAnsi="Times New Roman Regular" w:cs="Times New Roman Regular"/>
          <w:b/>
          <w:bCs/>
          <w:sz w:val="24"/>
          <w:szCs w:val="24"/>
        </w:rPr>
        <w:t xml:space="preserve">obs@tighana.org </w:t>
      </w:r>
      <w:r>
        <w:rPr>
          <w:rFonts w:ascii="Times New Roman Regular" w:hAnsi="Times New Roman Regular" w:cs="Times New Roman Regular"/>
          <w:sz w:val="24"/>
          <w:szCs w:val="24"/>
        </w:rPr>
        <w:t xml:space="preserve">with the subject line: </w:t>
      </w:r>
      <w:r>
        <w:rPr>
          <w:rFonts w:ascii="Times New Roman Regular" w:hAnsi="Times New Roman Regular" w:cs="Times New Roman Regular"/>
          <w:b/>
          <w:bCs/>
          <w:sz w:val="24"/>
          <w:szCs w:val="24"/>
        </w:rPr>
        <w:t xml:space="preserve">“Simplified Guide on Anti-Corruption Initiatives” </w:t>
      </w:r>
      <w:r>
        <w:rPr>
          <w:rFonts w:ascii="Times New Roman Regular" w:hAnsi="Times New Roman Regular" w:cs="Times New Roman Regular"/>
          <w:sz w:val="24"/>
          <w:szCs w:val="24"/>
        </w:rPr>
        <w:t xml:space="preserve">and formally addressed to: </w:t>
      </w:r>
    </w:p>
    <w:p w14:paraId="2ACBE4BD" w14:textId="77777777" w:rsidR="00A52162" w:rsidRDefault="00A52162">
      <w:pPr>
        <w:rPr>
          <w:rFonts w:ascii="Times New Roman Regular" w:hAnsi="Times New Roman Regular" w:cs="Times New Roman Regular" w:hint="eastAsia"/>
          <w:sz w:val="24"/>
          <w:szCs w:val="24"/>
        </w:rPr>
      </w:pPr>
    </w:p>
    <w:p w14:paraId="6B12FC87" w14:textId="77777777" w:rsidR="00A52162" w:rsidRDefault="0005023F">
      <w:pPr>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Executive Director</w:t>
      </w:r>
      <w:r>
        <w:rPr>
          <w:rFonts w:ascii="Times New Roman Regular" w:hAnsi="Times New Roman Regular" w:cs="Times New Roman Regular"/>
          <w:b/>
          <w:bCs/>
          <w:sz w:val="24"/>
          <w:szCs w:val="24"/>
        </w:rPr>
        <w:br/>
        <w:t>Ghana Integrity Initiative (GII)</w:t>
      </w:r>
      <w:r>
        <w:rPr>
          <w:rFonts w:ascii="Times New Roman Regular" w:hAnsi="Times New Roman Regular" w:cs="Times New Roman Regular"/>
          <w:b/>
          <w:bCs/>
          <w:sz w:val="24"/>
          <w:szCs w:val="24"/>
        </w:rPr>
        <w:br/>
        <w:t>PMB CT 317, Cantonments, Accra.</w:t>
      </w:r>
    </w:p>
    <w:p w14:paraId="526EA706" w14:textId="77777777" w:rsidR="00A52162" w:rsidRDefault="00A52162">
      <w:pPr>
        <w:rPr>
          <w:rFonts w:ascii="Times New Roman Regular" w:hAnsi="Times New Roman Regular" w:cs="Times New Roman Regular" w:hint="eastAsia"/>
          <w:sz w:val="24"/>
          <w:szCs w:val="24"/>
        </w:rPr>
      </w:pPr>
    </w:p>
    <w:p w14:paraId="7A0A853E" w14:textId="61914E23" w:rsidR="00A52162" w:rsidRDefault="0005023F">
      <w:pPr>
        <w:rPr>
          <w:rFonts w:ascii="Times New Roman Regular" w:hAnsi="Times New Roman Regular" w:cs="Times New Roman Regular" w:hint="eastAsia"/>
          <w:sz w:val="24"/>
          <w:szCs w:val="24"/>
        </w:rPr>
      </w:pPr>
      <w:r w:rsidRPr="003832B1">
        <w:rPr>
          <w:rFonts w:ascii="Times New Roman Regular" w:hAnsi="Times New Roman Regular" w:cs="Times New Roman Regular"/>
          <w:b/>
          <w:bCs/>
          <w:sz w:val="24"/>
          <w:szCs w:val="24"/>
        </w:rPr>
        <w:t>Deadline for Submission:</w:t>
      </w:r>
      <w:r>
        <w:rPr>
          <w:rFonts w:ascii="Times New Roman Regular" w:hAnsi="Times New Roman Regular" w:cs="Times New Roman Regular"/>
          <w:sz w:val="24"/>
          <w:szCs w:val="24"/>
        </w:rPr>
        <w:t xml:space="preserve"> Proposals must </w:t>
      </w:r>
      <w:proofErr w:type="gramStart"/>
      <w:r>
        <w:rPr>
          <w:rFonts w:ascii="Times New Roman Regular" w:hAnsi="Times New Roman Regular" w:cs="Times New Roman Regular"/>
          <w:sz w:val="24"/>
          <w:szCs w:val="24"/>
        </w:rPr>
        <w:t>be submitted</w:t>
      </w:r>
      <w:proofErr w:type="gramEnd"/>
      <w:r>
        <w:rPr>
          <w:rFonts w:ascii="Times New Roman Regular" w:hAnsi="Times New Roman Regular" w:cs="Times New Roman Regular"/>
          <w:sz w:val="24"/>
          <w:szCs w:val="24"/>
        </w:rPr>
        <w:t xml:space="preserve"> by </w:t>
      </w:r>
      <w:r w:rsidR="00840D20" w:rsidRPr="003832B1">
        <w:rPr>
          <w:rFonts w:ascii="Times New Roman Regular" w:hAnsi="Times New Roman Regular" w:cs="Times New Roman Regular"/>
          <w:b/>
          <w:bCs/>
          <w:sz w:val="24"/>
          <w:szCs w:val="24"/>
        </w:rPr>
        <w:t>25</w:t>
      </w:r>
      <w:r w:rsidRPr="003832B1">
        <w:rPr>
          <w:rFonts w:ascii="Times New Roman Regular" w:hAnsi="Times New Roman Regular" w:cs="Times New Roman Regular"/>
          <w:b/>
          <w:bCs/>
          <w:sz w:val="24"/>
          <w:szCs w:val="24"/>
          <w:vertAlign w:val="superscript"/>
        </w:rPr>
        <w:t>th</w:t>
      </w:r>
      <w:r w:rsidR="003832B1">
        <w:rPr>
          <w:rFonts w:ascii="Times New Roman Regular" w:hAnsi="Times New Roman Regular" w:cs="Times New Roman Regular"/>
          <w:b/>
          <w:bCs/>
          <w:sz w:val="24"/>
          <w:szCs w:val="24"/>
        </w:rPr>
        <w:t xml:space="preserve"> </w:t>
      </w:r>
      <w:r w:rsidRPr="003832B1">
        <w:rPr>
          <w:rFonts w:ascii="Times New Roman Regular" w:hAnsi="Times New Roman Regular" w:cs="Times New Roman Regular"/>
          <w:b/>
          <w:bCs/>
          <w:sz w:val="24"/>
          <w:szCs w:val="24"/>
        </w:rPr>
        <w:t>October 2024</w:t>
      </w:r>
      <w:r>
        <w:rPr>
          <w:rFonts w:ascii="Times New Roman Regular" w:hAnsi="Times New Roman Regular" w:cs="Times New Roman Regular"/>
          <w:sz w:val="24"/>
          <w:szCs w:val="24"/>
        </w:rPr>
        <w:t>.</w:t>
      </w:r>
    </w:p>
    <w:p w14:paraId="00A6833A" w14:textId="77777777" w:rsidR="00A52162" w:rsidRDefault="00A52162">
      <w:pPr>
        <w:rPr>
          <w:rFonts w:ascii="Times New Roman Regular" w:hAnsi="Times New Roman Regular" w:cs="Times New Roman Regular" w:hint="eastAsia"/>
          <w:sz w:val="24"/>
          <w:szCs w:val="24"/>
        </w:rPr>
      </w:pPr>
    </w:p>
    <w:p w14:paraId="0F050A89" w14:textId="77777777" w:rsidR="00A52162" w:rsidRDefault="0005023F">
      <w:pPr>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 xml:space="preserve">NB: Only </w:t>
      </w:r>
      <w:proofErr w:type="spellStart"/>
      <w:r>
        <w:rPr>
          <w:rFonts w:ascii="Times New Roman Regular" w:hAnsi="Times New Roman Regular" w:cs="Times New Roman Regular"/>
          <w:b/>
          <w:bCs/>
          <w:sz w:val="24"/>
          <w:szCs w:val="24"/>
        </w:rPr>
        <w:t>shorlisted</w:t>
      </w:r>
      <w:proofErr w:type="spellEnd"/>
      <w:r>
        <w:rPr>
          <w:rFonts w:ascii="Times New Roman Regular" w:hAnsi="Times New Roman Regular" w:cs="Times New Roman Regular"/>
          <w:b/>
          <w:bCs/>
          <w:sz w:val="24"/>
          <w:szCs w:val="24"/>
        </w:rPr>
        <w:t xml:space="preserve"> applicants will </w:t>
      </w:r>
      <w:proofErr w:type="gramStart"/>
      <w:r>
        <w:rPr>
          <w:rFonts w:ascii="Times New Roman Regular" w:hAnsi="Times New Roman Regular" w:cs="Times New Roman Regular"/>
          <w:b/>
          <w:bCs/>
          <w:sz w:val="24"/>
          <w:szCs w:val="24"/>
        </w:rPr>
        <w:t>be contacted</w:t>
      </w:r>
      <w:proofErr w:type="gramEnd"/>
      <w:r>
        <w:rPr>
          <w:rFonts w:ascii="Times New Roman Regular" w:hAnsi="Times New Roman Regular" w:cs="Times New Roman Regular"/>
          <w:b/>
          <w:bCs/>
          <w:sz w:val="24"/>
          <w:szCs w:val="24"/>
        </w:rPr>
        <w:t xml:space="preserve">. </w:t>
      </w:r>
    </w:p>
    <w:sectPr w:rsidR="00A52162">
      <w:headerReference w:type="default" r:id="rId10"/>
      <w:footerReference w:type="default" r:id="rId11"/>
      <w:pgSz w:w="11906" w:h="16838"/>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169A4" w14:textId="77777777" w:rsidR="007939B6" w:rsidRDefault="007939B6">
      <w:r>
        <w:separator/>
      </w:r>
    </w:p>
  </w:endnote>
  <w:endnote w:type="continuationSeparator" w:id="0">
    <w:p w14:paraId="4E9574A3" w14:textId="77777777" w:rsidR="007939B6" w:rsidRDefault="0079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Regular">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5007F" w14:textId="77777777" w:rsidR="00A52162" w:rsidRDefault="0005023F">
    <w:pPr>
      <w:pStyle w:val="Footer"/>
    </w:pPr>
    <w:r>
      <w:rPr>
        <w:noProof/>
      </w:rPr>
      <mc:AlternateContent>
        <mc:Choice Requires="wps">
          <w:drawing>
            <wp:anchor distT="0" distB="0" distL="114300" distR="114300" simplePos="0" relativeHeight="251660288" behindDoc="0" locked="0" layoutInCell="1" allowOverlap="1" wp14:anchorId="2E3B966D" wp14:editId="3F06AC63">
              <wp:simplePos x="0" y="0"/>
              <wp:positionH relativeFrom="margin">
                <wp:align>right</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F1BC06" w14:textId="77777777" w:rsidR="00A52162" w:rsidRDefault="0005023F">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3B966D" id="_x0000_t202" coordsize="21600,21600" o:spt="202" path="m,l,21600r21600,l21600,xe">
              <v:stroke joinstyle="miter"/>
              <v:path gradientshapeok="t" o:connecttype="rect"/>
            </v:shapetype>
            <v:shape id="Text Box 4" o:spid="_x0000_s1027"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p w14:paraId="4DF1BC06" w14:textId="77777777" w:rsidR="00A52162" w:rsidRDefault="0005023F">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767F8" w14:textId="77777777" w:rsidR="007939B6" w:rsidRDefault="007939B6">
      <w:r>
        <w:separator/>
      </w:r>
    </w:p>
  </w:footnote>
  <w:footnote w:type="continuationSeparator" w:id="0">
    <w:p w14:paraId="046CA70B" w14:textId="77777777" w:rsidR="007939B6" w:rsidRDefault="00793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0807C" w14:textId="77777777" w:rsidR="00A52162" w:rsidRDefault="0005023F">
    <w:pPr>
      <w:pStyle w:val="Header"/>
    </w:pPr>
    <w:r>
      <w:rPr>
        <w:noProof/>
      </w:rPr>
      <mc:AlternateContent>
        <mc:Choice Requires="wps">
          <w:drawing>
            <wp:anchor distT="0" distB="0" distL="114300" distR="114300" simplePos="0" relativeHeight="251659264" behindDoc="0" locked="0" layoutInCell="1" allowOverlap="1" wp14:anchorId="593D623B" wp14:editId="22EE623D">
              <wp:simplePos x="0" y="0"/>
              <wp:positionH relativeFrom="margin">
                <wp:align>right</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10352B" w14:textId="77777777" w:rsidR="00A52162" w:rsidRDefault="00A52162">
                          <w:pPr>
                            <w:pStyle w:val="Head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3D623B" id="_x0000_t202" coordsize="21600,21600" o:spt="202" path="m,l,21600r21600,l21600,xe">
              <v:stroke joinstyle="miter"/>
              <v:path gradientshapeok="t" o:connecttype="rect"/>
            </v:shapetype>
            <v:shape id="Text Box 3"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7E10352B" w14:textId="77777777" w:rsidR="00A52162" w:rsidRDefault="00A52162">
                    <w:pPr>
                      <w:pStyle w:val="Heade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6FFADC6"/>
    <w:multiLevelType w:val="singleLevel"/>
    <w:tmpl w:val="D6FFADC6"/>
    <w:lvl w:ilvl="0">
      <w:start w:val="1"/>
      <w:numFmt w:val="decimal"/>
      <w:lvlText w:val="%1."/>
      <w:lvlJc w:val="left"/>
      <w:pPr>
        <w:tabs>
          <w:tab w:val="left" w:pos="845"/>
        </w:tabs>
        <w:ind w:left="845" w:hanging="425"/>
      </w:pPr>
      <w:rPr>
        <w:rFonts w:hint="default"/>
      </w:rPr>
    </w:lvl>
  </w:abstractNum>
  <w:abstractNum w:abstractNumId="1" w15:restartNumberingAfterBreak="0">
    <w:nsid w:val="D7CD357D"/>
    <w:multiLevelType w:val="singleLevel"/>
    <w:tmpl w:val="D7CD357D"/>
    <w:lvl w:ilvl="0">
      <w:start w:val="1"/>
      <w:numFmt w:val="lowerLetter"/>
      <w:lvlText w:val="%1."/>
      <w:lvlJc w:val="left"/>
      <w:pPr>
        <w:tabs>
          <w:tab w:val="left" w:pos="845"/>
        </w:tabs>
        <w:ind w:left="845" w:hanging="425"/>
      </w:pPr>
      <w:rPr>
        <w:rFonts w:hint="default"/>
      </w:rPr>
    </w:lvl>
  </w:abstractNum>
  <w:abstractNum w:abstractNumId="2" w15:restartNumberingAfterBreak="0">
    <w:nsid w:val="DFF66CFE"/>
    <w:multiLevelType w:val="singleLevel"/>
    <w:tmpl w:val="DFF66CFE"/>
    <w:lvl w:ilvl="0">
      <w:start w:val="1"/>
      <w:numFmt w:val="decimal"/>
      <w:lvlText w:val="%1."/>
      <w:lvlJc w:val="left"/>
      <w:pPr>
        <w:tabs>
          <w:tab w:val="left" w:pos="845"/>
        </w:tabs>
        <w:ind w:left="845" w:hanging="425"/>
      </w:pPr>
      <w:rPr>
        <w:rFonts w:hint="default"/>
      </w:rPr>
    </w:lvl>
  </w:abstractNum>
  <w:abstractNum w:abstractNumId="3" w15:restartNumberingAfterBreak="0">
    <w:nsid w:val="FD7E95B2"/>
    <w:multiLevelType w:val="singleLevel"/>
    <w:tmpl w:val="FD7E95B2"/>
    <w:lvl w:ilvl="0">
      <w:start w:val="1"/>
      <w:numFmt w:val="decimal"/>
      <w:lvlText w:val="%1."/>
      <w:lvlJc w:val="left"/>
      <w:pPr>
        <w:tabs>
          <w:tab w:val="left" w:pos="845"/>
        </w:tabs>
        <w:ind w:left="845" w:hanging="425"/>
      </w:pPr>
      <w:rPr>
        <w:rFonts w:hint="default"/>
      </w:rPr>
    </w:lvl>
  </w:abstractNum>
  <w:abstractNum w:abstractNumId="4" w15:restartNumberingAfterBreak="0">
    <w:nsid w:val="77DBB2AB"/>
    <w:multiLevelType w:val="singleLevel"/>
    <w:tmpl w:val="77DBB2AB"/>
    <w:lvl w:ilvl="0">
      <w:start w:val="1"/>
      <w:numFmt w:val="lowerLetter"/>
      <w:lvlText w:val="%1."/>
      <w:lvlJc w:val="left"/>
      <w:pPr>
        <w:tabs>
          <w:tab w:val="left" w:pos="845"/>
        </w:tabs>
        <w:ind w:left="845" w:hanging="425"/>
      </w:pPr>
      <w:rPr>
        <w:rFonts w:hint="default"/>
      </w:rPr>
    </w:lvl>
  </w:abstractNum>
  <w:num w:numId="1" w16cid:durableId="1049495785">
    <w:abstractNumId w:val="0"/>
  </w:num>
  <w:num w:numId="2" w16cid:durableId="166095309">
    <w:abstractNumId w:val="4"/>
  </w:num>
  <w:num w:numId="3" w16cid:durableId="1701784915">
    <w:abstractNumId w:val="3"/>
  </w:num>
  <w:num w:numId="4" w16cid:durableId="1671517266">
    <w:abstractNumId w:val="1"/>
  </w:num>
  <w:num w:numId="5" w16cid:durableId="1131748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ws7QwNzKytDAyNTZW0lEKTi0uzszPAykwrAUA0hEKIywAAAA="/>
  </w:docVars>
  <w:rsids>
    <w:rsidRoot w:val="58BD10C1"/>
    <w:rsid w:val="F6E52826"/>
    <w:rsid w:val="0005023F"/>
    <w:rsid w:val="003832B1"/>
    <w:rsid w:val="006C1DCF"/>
    <w:rsid w:val="007939B6"/>
    <w:rsid w:val="00840D20"/>
    <w:rsid w:val="00A52162"/>
    <w:rsid w:val="00B12084"/>
    <w:rsid w:val="00BA434E"/>
    <w:rsid w:val="00DE0173"/>
    <w:rsid w:val="00F901E3"/>
    <w:rsid w:val="00FD0551"/>
    <w:rsid w:val="37ABB7A2"/>
    <w:rsid w:val="58BD1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75A0A"/>
  <w15:docId w15:val="{D6E71CBA-2DD1-493A-B2AE-2FB51267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yperlink">
    <w:name w:val="Hyperlink"/>
    <w:basedOn w:val="DefaultParagraphFont"/>
    <w:rPr>
      <w:color w:val="0000FF"/>
      <w:u w:val="single"/>
    </w:rPr>
  </w:style>
  <w:style w:type="paragraph" w:styleId="NormalWeb">
    <w:name w:val="Normal (Web)"/>
    <w:pPr>
      <w:spacing w:beforeAutospacing="1" w:afterAutospacing="1"/>
    </w:pPr>
    <w:rPr>
      <w:sz w:val="24"/>
      <w:szCs w:val="24"/>
      <w:lang w:val="en-US" w:eastAsia="zh-CN"/>
    </w:r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ighan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Jacob Ahuno (TI GH)</cp:lastModifiedBy>
  <cp:revision>7</cp:revision>
  <dcterms:created xsi:type="dcterms:W3CDTF">2024-10-21T15:01:00Z</dcterms:created>
  <dcterms:modified xsi:type="dcterms:W3CDTF">2024-10-22T11:41:00Z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